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0" w:beforeAutospacing="1"/>
        <w:jc w:val="center"/>
        <w:rPr>
          <w:rFonts w:ascii="华文中宋" w:hAnsi="Calibri" w:eastAsia="华文中宋" w:cs="Times New Roman"/>
          <w:kern w:val="0"/>
          <w:sz w:val="40"/>
          <w:szCs w:val="40"/>
        </w:rPr>
      </w:pPr>
      <w:r>
        <w:rPr>
          <w:rFonts w:hint="eastAsia" w:ascii="华文中宋" w:hAnsi="华文中宋" w:eastAsia="华文中宋" w:cs="Times New Roman"/>
          <w:kern w:val="0"/>
          <w:sz w:val="40"/>
          <w:szCs w:val="40"/>
        </w:rPr>
        <w:t>农业硕士专业学位农村发展领域</w:t>
      </w:r>
    </w:p>
    <w:p>
      <w:pPr>
        <w:widowControl/>
        <w:spacing w:line="480" w:lineRule="exact"/>
        <w:jc w:val="center"/>
        <w:rPr>
          <w:rFonts w:ascii="华文中宋" w:hAnsi="Calibri" w:eastAsia="华文中宋" w:cs="宋体"/>
          <w:kern w:val="0"/>
          <w:sz w:val="40"/>
          <w:szCs w:val="40"/>
        </w:rPr>
      </w:pPr>
      <w:r>
        <w:rPr>
          <w:rFonts w:hint="eastAsia" w:ascii="华文中宋" w:hAnsi="华文中宋" w:eastAsia="华文中宋" w:cs="宋体"/>
          <w:kern w:val="0"/>
          <w:sz w:val="40"/>
          <w:szCs w:val="40"/>
        </w:rPr>
        <w:t>培养方案</w:t>
      </w:r>
    </w:p>
    <w:p>
      <w:pPr>
        <w:widowControl/>
        <w:spacing w:line="48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p>
    <w:p>
      <w:pPr>
        <w:widowControl/>
        <w:spacing w:line="480" w:lineRule="exact"/>
        <w:ind w:firstLine="482" w:firstLineChars="200"/>
        <w:jc w:val="left"/>
        <w:rPr>
          <w:rFonts w:ascii="宋体" w:hAnsi="宋体" w:eastAsia="宋体" w:cs="Times New Roman"/>
          <w:kern w:val="0"/>
          <w:sz w:val="24"/>
          <w:szCs w:val="24"/>
        </w:rPr>
      </w:pPr>
      <w:r>
        <w:rPr>
          <w:rFonts w:hint="eastAsia" w:ascii="宋体" w:hAnsi="宋体" w:eastAsia="宋体" w:cs="Times New Roman"/>
          <w:b/>
          <w:bCs/>
          <w:kern w:val="0"/>
          <w:sz w:val="24"/>
          <w:szCs w:val="24"/>
        </w:rPr>
        <w:t>一、培养目标和要求</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1、培养目标</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 xml:space="preserve"> </w:t>
      </w:r>
      <w:r>
        <w:rPr>
          <w:rFonts w:hint="eastAsia" w:ascii="宋体" w:hAnsi="宋体" w:eastAsia="宋体" w:cs="Times New Roman"/>
          <w:kern w:val="0"/>
          <w:sz w:val="24"/>
          <w:szCs w:val="24"/>
        </w:rPr>
        <w:t>农村发展领域农业硕士是与该领域任职资格相联系的专业学位，主要为政府部门、事业单位、科研机构和社会组织等培养能够掌握社会学、管理学和发展规划等学科的农村发展理论和知识、能够运用其中的工具和工作方法对农村发展问题进行分析和应对的实践性、应用型和专业型的高层次农村发展专门人才。</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2、培养要求</w:t>
      </w:r>
    </w:p>
    <w:p>
      <w:pPr>
        <w:autoSpaceDE w:val="0"/>
        <w:autoSpaceDN w:val="0"/>
        <w:adjustRightInd w:val="0"/>
        <w:spacing w:before="100" w:beforeAutospacing="1" w:line="480" w:lineRule="exact"/>
        <w:ind w:firstLine="360" w:firstLineChars="15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 本领域包括农村公共管理、农村社会发展、农村发展规划、农业农村发展四个方向，培养要求如下： </w:t>
      </w:r>
    </w:p>
    <w:p>
      <w:pPr>
        <w:autoSpaceDE w:val="0"/>
        <w:autoSpaceDN w:val="0"/>
        <w:adjustRightInd w:val="0"/>
        <w:spacing w:before="100" w:beforeAutospacing="1" w:line="480" w:lineRule="exact"/>
        <w:ind w:firstLine="480" w:firstLineChars="20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⑴.热爱祖国、拥护党的路线、方针和政策；学习和掌握马克思主义和中国特色社会主义理论；吃苦耐劳、联系权重、遵纪守法、品行端正；具有良好的职业道德和敬业精神，为我国经济建设和社会发展服务。 </w:t>
      </w:r>
    </w:p>
    <w:p>
      <w:pPr>
        <w:autoSpaceDE w:val="0"/>
        <w:autoSpaceDN w:val="0"/>
        <w:adjustRightInd w:val="0"/>
        <w:spacing w:before="100" w:beforeAutospacing="1" w:line="480" w:lineRule="exact"/>
        <w:ind w:firstLine="480" w:firstLineChars="20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 xml:space="preserve">⑵.熟悉农村发展领域的现状及发展趋势，正确认识和分析农村发展领域的现实和实际问题；掌握农村发展的理论、方法和工具，能够阅读和综述农村发展领域的中外文文献，掌握论文写作能力；能够运用农村发展领域的理论、方法和工具，对农村实际问题进行分析和应对，具有独立承担农村发展领域实际工作的能力。 </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⑶.掌握一门外国语，基本能够阅读本领域的外文资料。</w:t>
      </w:r>
    </w:p>
    <w:p>
      <w:pPr>
        <w:widowControl/>
        <w:spacing w:line="480" w:lineRule="exact"/>
        <w:ind w:firstLine="482" w:firstLineChars="200"/>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二、招生对象及入学考试</w:t>
      </w:r>
    </w:p>
    <w:p>
      <w:pPr>
        <w:widowControl/>
        <w:spacing w:line="480" w:lineRule="exact"/>
        <w:ind w:firstLine="240" w:firstLineChars="100"/>
        <w:jc w:val="left"/>
        <w:rPr>
          <w:rFonts w:ascii="宋体" w:hAnsi="宋体" w:eastAsia="宋体" w:cs="Times New Roman"/>
          <w:kern w:val="0"/>
          <w:sz w:val="24"/>
          <w:szCs w:val="24"/>
        </w:rPr>
      </w:pPr>
      <w:r>
        <w:rPr>
          <w:rFonts w:hint="eastAsia" w:ascii="宋体" w:hAnsi="宋体" w:eastAsia="宋体" w:cs="Times New Roman"/>
          <w:kern w:val="0"/>
          <w:sz w:val="24"/>
          <w:szCs w:val="24"/>
        </w:rPr>
        <w:t>（一）招生对象</w:t>
      </w:r>
    </w:p>
    <w:p>
      <w:pPr>
        <w:widowControl/>
        <w:spacing w:line="480" w:lineRule="exact"/>
        <w:ind w:firstLine="960" w:firstLineChars="400"/>
        <w:jc w:val="left"/>
        <w:rPr>
          <w:rFonts w:ascii="宋体" w:hAnsi="宋体" w:eastAsia="宋体" w:cs="Times New Roman"/>
          <w:kern w:val="0"/>
          <w:sz w:val="24"/>
          <w:szCs w:val="24"/>
        </w:rPr>
      </w:pPr>
      <w:r>
        <w:rPr>
          <w:rFonts w:hint="eastAsia" w:ascii="宋体" w:hAnsi="宋体" w:eastAsia="宋体" w:cs="Times New Roman"/>
          <w:kern w:val="0"/>
          <w:sz w:val="24"/>
          <w:szCs w:val="24"/>
        </w:rPr>
        <w:t>主要为具有国民教育序列大学本科学历（或本科同等学力）人员。</w:t>
      </w:r>
    </w:p>
    <w:p>
      <w:pPr>
        <w:widowControl/>
        <w:spacing w:line="480" w:lineRule="exact"/>
        <w:ind w:firstLine="240" w:firstLineChars="100"/>
        <w:jc w:val="left"/>
        <w:rPr>
          <w:rFonts w:ascii="宋体" w:hAnsi="宋体" w:eastAsia="宋体" w:cs="Times New Roman"/>
          <w:kern w:val="0"/>
          <w:sz w:val="24"/>
          <w:szCs w:val="24"/>
        </w:rPr>
      </w:pPr>
      <w:r>
        <w:rPr>
          <w:rFonts w:hint="eastAsia" w:ascii="宋体" w:hAnsi="宋体" w:eastAsia="宋体" w:cs="Times New Roman"/>
          <w:kern w:val="0"/>
          <w:sz w:val="24"/>
          <w:szCs w:val="24"/>
        </w:rPr>
        <w:t>（二）入学考试</w:t>
      </w:r>
    </w:p>
    <w:p>
      <w:pPr>
        <w:widowControl/>
        <w:spacing w:line="480" w:lineRule="exact"/>
        <w:ind w:firstLine="960" w:firstLineChars="400"/>
        <w:jc w:val="left"/>
        <w:rPr>
          <w:rFonts w:ascii="宋体" w:hAnsi="宋体" w:eastAsia="宋体" w:cs="Times New Roman"/>
          <w:kern w:val="0"/>
          <w:sz w:val="24"/>
          <w:szCs w:val="24"/>
        </w:rPr>
      </w:pPr>
      <w:r>
        <w:rPr>
          <w:rFonts w:hint="eastAsia" w:ascii="宋体" w:hAnsi="宋体" w:eastAsia="宋体" w:cs="Times New Roman"/>
          <w:kern w:val="0"/>
          <w:sz w:val="24"/>
          <w:szCs w:val="24"/>
        </w:rPr>
        <w:t>入学考试由参加全国研究生入学考试初试和招生单位组织的复试组成。</w:t>
      </w:r>
    </w:p>
    <w:p>
      <w:pPr>
        <w:widowControl/>
        <w:spacing w:line="480" w:lineRule="exact"/>
        <w:ind w:firstLine="482" w:firstLineChars="200"/>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三、学习方式及学习年限</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 xml:space="preserve"> 学习方式分全日制或非全日制两种：采用全日制学习方式的，学习年限一般为3年；采用非全日制学习方式的，学习年限一般为3-5年。</w:t>
      </w:r>
    </w:p>
    <w:p>
      <w:pPr>
        <w:widowControl/>
        <w:spacing w:line="480" w:lineRule="exact"/>
        <w:ind w:firstLine="482" w:firstLineChars="200"/>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四、培养方式</w:t>
      </w:r>
    </w:p>
    <w:p>
      <w:pPr>
        <w:autoSpaceDE w:val="0"/>
        <w:autoSpaceDN w:val="0"/>
        <w:adjustRightInd w:val="0"/>
        <w:spacing w:before="100" w:beforeAutospacing="1" w:line="480" w:lineRule="exact"/>
        <w:ind w:firstLine="46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(一)采取课程学习、实践训练、论文研究相结合的培养方式 </w:t>
      </w:r>
    </w:p>
    <w:p>
      <w:pPr>
        <w:autoSpaceDE w:val="0"/>
        <w:autoSpaceDN w:val="0"/>
        <w:adjustRightInd w:val="0"/>
        <w:spacing w:before="100" w:beforeAutospacing="1"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根据本专业学位的培养目标和要求，建立稳定的农业硕士农村发展领域专业学位研究生校外实践基地，加强研究生的实践训练，促进实践与课程教学和学位论文工作的紧密结合，注重在实践中培养研究生解决实际问题的意识和能力。实践训练不少于6个月。 </w:t>
      </w:r>
    </w:p>
    <w:p>
      <w:pPr>
        <w:autoSpaceDE w:val="0"/>
        <w:autoSpaceDN w:val="0"/>
        <w:adjustRightInd w:val="0"/>
        <w:spacing w:before="100" w:beforeAutospacing="1"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(二)实行双导师制 </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实行校内、校外双导师制；校内、外导师应具有丰富的实践经验并有高级技术职称或者具有博士学位。</w:t>
      </w:r>
    </w:p>
    <w:p>
      <w:pPr>
        <w:widowControl/>
        <w:spacing w:line="480" w:lineRule="exact"/>
        <w:ind w:firstLine="482" w:firstLineChars="200"/>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五、课程设置及培养环节</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（一）课程学习</w:t>
      </w:r>
    </w:p>
    <w:p>
      <w:pPr>
        <w:widowControl/>
        <w:spacing w:line="480" w:lineRule="exact"/>
        <w:ind w:firstLine="480" w:firstLineChars="200"/>
        <w:jc w:val="left"/>
        <w:rPr>
          <w:rFonts w:ascii="宋体" w:hAnsi="宋体" w:eastAsia="宋体" w:cs="Times New Roman"/>
          <w:kern w:val="0"/>
          <w:sz w:val="24"/>
          <w:szCs w:val="24"/>
          <w:highlight w:val="none"/>
        </w:rPr>
      </w:pPr>
      <w:r>
        <w:rPr>
          <w:rFonts w:hint="eastAsia" w:ascii="宋体" w:hAnsi="宋体" w:eastAsia="宋体" w:cs="宋体"/>
          <w:kern w:val="0"/>
          <w:sz w:val="24"/>
          <w:szCs w:val="24"/>
        </w:rPr>
        <w:t>紧密围绕本专业培养目标，建立宽口径、多学科交叉的课程体系，教学内容须重点突出案例分析和实践研究，课程讲授方式鼓励采取教学团队模式</w:t>
      </w:r>
      <w:r>
        <w:rPr>
          <w:rFonts w:hint="eastAsia" w:ascii="宋体" w:hAnsi="宋体" w:eastAsia="宋体" w:cs="宋体"/>
          <w:kern w:val="0"/>
          <w:sz w:val="24"/>
          <w:szCs w:val="24"/>
          <w:highlight w:val="none"/>
        </w:rPr>
        <w:t>授课。</w:t>
      </w:r>
      <w:r>
        <w:rPr>
          <w:rFonts w:hint="eastAsia" w:ascii="宋体" w:hAnsi="宋体" w:eastAsia="宋体" w:cs="宋体"/>
          <w:color w:val="auto"/>
          <w:kern w:val="0"/>
          <w:sz w:val="24"/>
          <w:szCs w:val="24"/>
          <w:highlight w:val="none"/>
        </w:rPr>
        <w:t>攻读农业硕士农村发展领域专业学位的课程学习实行学分制，总学分不少于30学分，其中全日制课程学分不少于26学分，实践训练4学分；非全日制课程学分不少于30学分，不设实践训练环节。理论课程分为公共课、领域主干课与选修</w:t>
      </w:r>
      <w:r>
        <w:rPr>
          <w:rFonts w:hint="eastAsia" w:ascii="宋体" w:hAnsi="宋体" w:eastAsia="宋体" w:cs="宋体"/>
          <w:kern w:val="0"/>
          <w:sz w:val="24"/>
          <w:szCs w:val="24"/>
          <w:highlight w:val="none"/>
        </w:rPr>
        <w:t>课，原则上所有理论课程一年</w:t>
      </w:r>
      <w:bookmarkStart w:id="1" w:name="_GoBack"/>
      <w:bookmarkEnd w:id="1"/>
      <w:r>
        <w:rPr>
          <w:rFonts w:hint="eastAsia" w:ascii="宋体" w:hAnsi="宋体" w:eastAsia="宋体" w:cs="宋体"/>
          <w:kern w:val="0"/>
          <w:sz w:val="24"/>
          <w:szCs w:val="24"/>
          <w:highlight w:val="none"/>
        </w:rPr>
        <w:t>修完，具体课程设置见附件。</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（二）培养环节</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 实践训练（4学分）</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积极联合“三农”领域及相关行业的政府部门、企事业单位等机构，建立稳定的专业学位研究生培养实践基地，围绕本领域学位授予要求制定实践训练大纲，组织开展实践教学工作，实践训练时间一般不少于6个月。实践教学效果以调研报告、实践报告、公开发表论文、参与社会服务和学术奖励等形式体现，具体规定和要求参见《河南农业大学经济与管理学院农业硕士专业学位农村发展领域培养细则规定》。</w:t>
      </w:r>
    </w:p>
    <w:p>
      <w:pPr>
        <w:pStyle w:val="6"/>
        <w:ind w:firstLine="480" w:firstLineChars="200"/>
        <w:rPr>
          <w:rFonts w:ascii="宋体" w:hAnsi="宋体" w:cs="宋体"/>
          <w:kern w:val="0"/>
          <w:sz w:val="24"/>
          <w:szCs w:val="24"/>
        </w:rPr>
      </w:pPr>
      <w:r>
        <w:rPr>
          <w:rFonts w:hint="eastAsia" w:ascii="宋体" w:hAnsi="宋体" w:cs="宋体"/>
          <w:kern w:val="0"/>
          <w:sz w:val="24"/>
          <w:szCs w:val="24"/>
        </w:rPr>
        <w:t>2. 其他环节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其他环节包括开题报告、中期考核、论文中期进展等，具体规定和要求参见《河南农业大学经济与管理学院农业硕士专业学位农村发展领域培养细则规定》。</w:t>
      </w:r>
    </w:p>
    <w:p>
      <w:pPr>
        <w:widowControl/>
        <w:spacing w:line="480" w:lineRule="exact"/>
        <w:ind w:firstLine="480" w:firstLineChars="200"/>
        <w:jc w:val="left"/>
        <w:rPr>
          <w:rFonts w:ascii="宋体" w:hAnsi="宋体" w:eastAsia="宋体" w:cs="宋体"/>
          <w:kern w:val="0"/>
          <w:sz w:val="24"/>
          <w:szCs w:val="24"/>
        </w:rPr>
      </w:pPr>
    </w:p>
    <w:p>
      <w:pPr>
        <w:widowControl/>
        <w:spacing w:line="480" w:lineRule="exact"/>
        <w:ind w:firstLine="482" w:firstLineChars="200"/>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六、学位论文要求</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（一）论文选题</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宋体"/>
          <w:kern w:val="0"/>
          <w:sz w:val="24"/>
          <w:szCs w:val="24"/>
        </w:rPr>
        <w:t>论文选题应来源于农村发展实践中的推广应用、生产与经营管理、政策分析等应用课题或现实问题，要有明确的应用价值，论文具备一定的技术难度、先进性和工作量，能体现作者综合运用经济学、管理学和社会学等科学理论、方法和技术手段分析和解决农业、农村发展等问题的能力。</w:t>
      </w:r>
    </w:p>
    <w:p>
      <w:pPr>
        <w:widowControl/>
        <w:spacing w:line="48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（二）论文形式</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学位论文应反映研究生综合运用知识技能解决实际问题的能力和水平，可将研究论文、设计规划、调研报告、案例分析等作为主要内容，以论文形式表现。</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（三）评审与答辩</w:t>
      </w:r>
    </w:p>
    <w:p>
      <w:pPr>
        <w:autoSpaceDE w:val="0"/>
        <w:autoSpaceDN w:val="0"/>
        <w:adjustRightInd w:val="0"/>
        <w:spacing w:before="100" w:beforeAutospacing="1" w:line="480" w:lineRule="exact"/>
        <w:ind w:firstLine="600" w:firstLineChars="2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学位论文的评审应着重考查作者综合运用科学理论、方法和技术手段解决农村发展过程中实际问题的能力；审查学位论文工作的技术难度和工作量。 </w:t>
      </w:r>
    </w:p>
    <w:p>
      <w:pPr>
        <w:autoSpaceDE w:val="0"/>
        <w:autoSpaceDN w:val="0"/>
        <w:adjustRightInd w:val="0"/>
        <w:spacing w:before="100" w:beforeAutospacing="1" w:line="48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攻读农业硕士专业学位研究生申请学位论文答辩的要求，必须完成培养方案中规定的所有环节，成绩合格，方可申请参加学位论文答辩。 </w:t>
      </w:r>
    </w:p>
    <w:p>
      <w:pPr>
        <w:widowControl/>
        <w:spacing w:line="480" w:lineRule="exact"/>
        <w:ind w:firstLine="600" w:firstLineChars="250"/>
        <w:jc w:val="left"/>
        <w:rPr>
          <w:rFonts w:ascii="宋体" w:hAnsi="宋体" w:eastAsia="宋体" w:cs="Times New Roman"/>
          <w:kern w:val="0"/>
          <w:sz w:val="24"/>
          <w:szCs w:val="24"/>
        </w:rPr>
      </w:pPr>
      <w:r>
        <w:rPr>
          <w:rFonts w:hint="eastAsia" w:ascii="宋体" w:hAnsi="宋体" w:eastAsia="宋体" w:cs="宋体"/>
          <w:kern w:val="0"/>
          <w:sz w:val="24"/>
          <w:szCs w:val="24"/>
        </w:rPr>
        <w:t>学位论文应至少有2名具有副高级以上专业技术职称的专家评阅，答辩委员会应由3～5位专家组成，学位论文评阅人和答辩委员会成员中，应有相关行业具有高级职称（或相当水平）的专家，导师不得担任本人指导研究生的答辩委员会委员。</w:t>
      </w:r>
    </w:p>
    <w:p>
      <w:pPr>
        <w:widowControl/>
        <w:spacing w:line="480" w:lineRule="exact"/>
        <w:ind w:firstLine="482" w:firstLineChars="200"/>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七、学位授予</w:t>
      </w:r>
    </w:p>
    <w:p>
      <w:pPr>
        <w:spacing w:before="100" w:beforeAutospacing="1" w:line="480" w:lineRule="exact"/>
        <w:ind w:firstLine="480" w:firstLineChars="200"/>
        <w:rPr>
          <w:rFonts w:ascii="宋体" w:hAnsi="宋体" w:eastAsia="宋体" w:cs="Times New Roman"/>
          <w:color w:val="auto"/>
          <w:sz w:val="24"/>
          <w:szCs w:val="24"/>
        </w:rPr>
      </w:pPr>
      <w:r>
        <w:rPr>
          <w:rFonts w:hint="eastAsia" w:ascii="宋体" w:hAnsi="宋体" w:eastAsia="宋体" w:cs="Times New Roman"/>
          <w:sz w:val="24"/>
          <w:szCs w:val="24"/>
        </w:rPr>
        <w:t>完成课程学习及培养环节，取得规定学分，并通过学位论文答辩者，经学位授予单位学位评定委员会审核，授</w:t>
      </w:r>
      <w:r>
        <w:rPr>
          <w:rFonts w:hint="eastAsia" w:ascii="宋体" w:hAnsi="宋体" w:eastAsia="宋体" w:cs="Times New Roman"/>
          <w:color w:val="auto"/>
          <w:sz w:val="24"/>
          <w:szCs w:val="24"/>
        </w:rPr>
        <w:t>予农业硕士专业学位，同时获得硕士研究生毕业证书；未达到学位授予条件而达到毕业要求者，准予毕业，获得毕业证书。</w:t>
      </w:r>
    </w:p>
    <w:p>
      <w:pPr>
        <w:spacing w:before="100" w:beforeAutospacing="1"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pPr>
        <w:spacing w:before="100" w:beforeAutospacing="1"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p>
    <w:p>
      <w:pPr>
        <w:spacing w:before="100" w:beforeAutospacing="1"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pPr>
        <w:spacing w:before="100" w:beforeAutospacing="1"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pPr>
        <w:spacing w:before="100" w:beforeAutospacing="1"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pPr>
        <w:spacing w:before="100" w:beforeAutospacing="1" w:line="360" w:lineRule="auto"/>
        <w:rPr>
          <w:rFonts w:ascii="Times New Roman" w:hAnsi="Times New Roman" w:eastAsia="黑体" w:cs="Times New Roman"/>
          <w:sz w:val="28"/>
          <w:szCs w:val="28"/>
        </w:rPr>
      </w:pPr>
      <w:r>
        <w:rPr>
          <w:rFonts w:ascii="黑体" w:hAnsi="黑体" w:eastAsia="黑体" w:cs="Times New Roman"/>
          <w:sz w:val="28"/>
          <w:szCs w:val="28"/>
        </w:rPr>
        <w:t>附表</w:t>
      </w:r>
      <w:r>
        <w:rPr>
          <w:rFonts w:ascii="Times New Roman" w:hAnsi="Times New Roman" w:eastAsia="黑体" w:cs="Times New Roman"/>
          <w:sz w:val="28"/>
          <w:szCs w:val="28"/>
        </w:rPr>
        <w:t xml:space="preserve">  </w:t>
      </w:r>
      <w:r>
        <w:rPr>
          <w:rFonts w:hint="eastAsia" w:ascii="黑体" w:hAnsi="黑体" w:eastAsia="黑体" w:cs="Times New Roman"/>
          <w:sz w:val="28"/>
          <w:szCs w:val="28"/>
        </w:rPr>
        <w:t>农业硕士专业学位农村发展领域</w:t>
      </w:r>
      <w:r>
        <w:rPr>
          <w:rFonts w:ascii="黑体" w:hAnsi="黑体" w:eastAsia="黑体" w:cs="Times New Roman"/>
          <w:sz w:val="28"/>
          <w:szCs w:val="28"/>
        </w:rPr>
        <w:t>课程设置表</w:t>
      </w:r>
    </w:p>
    <w:tbl>
      <w:tblPr>
        <w:tblStyle w:val="4"/>
        <w:tblW w:w="8748" w:type="dxa"/>
        <w:tblInd w:w="0" w:type="dxa"/>
        <w:tblLayout w:type="fixed"/>
        <w:tblCellMar>
          <w:top w:w="0" w:type="dxa"/>
          <w:left w:w="108" w:type="dxa"/>
          <w:bottom w:w="0" w:type="dxa"/>
          <w:right w:w="108" w:type="dxa"/>
        </w:tblCellMar>
      </w:tblPr>
      <w:tblGrid>
        <w:gridCol w:w="426"/>
        <w:gridCol w:w="493"/>
        <w:gridCol w:w="1169"/>
        <w:gridCol w:w="2340"/>
        <w:gridCol w:w="720"/>
        <w:gridCol w:w="668"/>
        <w:gridCol w:w="426"/>
        <w:gridCol w:w="1066"/>
        <w:gridCol w:w="805"/>
        <w:gridCol w:w="635"/>
      </w:tblGrid>
      <w:tr>
        <w:tblPrEx>
          <w:tblCellMar>
            <w:top w:w="0" w:type="dxa"/>
            <w:left w:w="108" w:type="dxa"/>
            <w:bottom w:w="0" w:type="dxa"/>
            <w:right w:w="108" w:type="dxa"/>
          </w:tblCellMar>
        </w:tblPrEx>
        <w:trPr>
          <w:cantSplit/>
          <w:trHeight w:val="482" w:hRule="atLeast"/>
        </w:trPr>
        <w:tc>
          <w:tcPr>
            <w:tcW w:w="919"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类型</w:t>
            </w:r>
          </w:p>
        </w:tc>
        <w:tc>
          <w:tcPr>
            <w:tcW w:w="1169" w:type="dxa"/>
            <w:tcBorders>
              <w:top w:val="single" w:color="auto" w:sz="4" w:space="0"/>
              <w:left w:val="nil"/>
              <w:bottom w:val="single" w:color="auto" w:sz="4" w:space="0"/>
              <w:right w:val="single" w:color="auto" w:sz="4" w:space="0"/>
            </w:tcBorders>
            <w:vAlign w:val="center"/>
          </w:tcPr>
          <w:p>
            <w:pPr>
              <w:spacing w:before="100" w:beforeAutospacing="1"/>
              <w:ind w:right="-107" w:rightChars="-51"/>
              <w:rPr>
                <w:rFonts w:ascii="Times New Roman" w:hAnsi="Times New Roman" w:eastAsia="宋体" w:cs="Times New Roman"/>
                <w:b/>
                <w:bCs/>
                <w:szCs w:val="21"/>
              </w:rPr>
            </w:pPr>
            <w:r>
              <w:rPr>
                <w:rFonts w:ascii="Times New Roman" w:hAnsi="宋体" w:eastAsia="宋体" w:cs="Times New Roman"/>
                <w:b/>
                <w:bCs/>
                <w:szCs w:val="21"/>
              </w:rPr>
              <w:t>课程编号</w:t>
            </w: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课程名称</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开课学期</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学</w:t>
            </w:r>
          </w:p>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时</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学分</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任课教师</w:t>
            </w: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考核方</w:t>
            </w:r>
            <w:r>
              <w:rPr>
                <w:rFonts w:hint="eastAsia" w:ascii="Times New Roman" w:hAnsi="宋体" w:eastAsia="宋体" w:cs="Times New Roman"/>
                <w:b/>
                <w:bCs/>
                <w:szCs w:val="21"/>
              </w:rPr>
              <w:t xml:space="preserve"> </w:t>
            </w:r>
            <w:r>
              <w:rPr>
                <w:rFonts w:ascii="Times New Roman" w:hAnsi="宋体" w:eastAsia="宋体" w:cs="Times New Roman"/>
                <w:b/>
                <w:bCs/>
                <w:szCs w:val="21"/>
              </w:rPr>
              <w:t>式</w:t>
            </w:r>
          </w:p>
        </w:tc>
        <w:tc>
          <w:tcPr>
            <w:tcW w:w="63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备</w:t>
            </w:r>
            <w:r>
              <w:rPr>
                <w:rFonts w:ascii="Times New Roman" w:hAnsi="Times New Roman" w:eastAsia="宋体" w:cs="Times New Roman"/>
                <w:b/>
                <w:bCs/>
                <w:szCs w:val="21"/>
              </w:rPr>
              <w:t> </w:t>
            </w:r>
            <w:r>
              <w:rPr>
                <w:rFonts w:ascii="Times New Roman" w:hAnsi="宋体" w:eastAsia="宋体" w:cs="Times New Roman"/>
                <w:b/>
                <w:bCs/>
                <w:szCs w:val="21"/>
              </w:rPr>
              <w:t>注</w:t>
            </w:r>
          </w:p>
        </w:tc>
      </w:tr>
      <w:tr>
        <w:tblPrEx>
          <w:tblCellMar>
            <w:top w:w="0" w:type="dxa"/>
            <w:left w:w="108" w:type="dxa"/>
            <w:bottom w:w="0" w:type="dxa"/>
            <w:right w:w="108" w:type="dxa"/>
          </w:tblCellMar>
        </w:tblPrEx>
        <w:trPr>
          <w:cantSplit/>
          <w:trHeight w:val="482" w:hRule="atLeast"/>
        </w:trPr>
        <w:tc>
          <w:tcPr>
            <w:tcW w:w="426" w:type="dxa"/>
            <w:vMerge w:val="restart"/>
            <w:tcBorders>
              <w:top w:val="nil"/>
              <w:left w:val="single" w:color="auto" w:sz="4" w:space="0"/>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bookmarkStart w:id="0" w:name="_Hlk320287255"/>
            <w:r>
              <w:rPr>
                <w:rFonts w:ascii="Times New Roman" w:hAnsi="宋体" w:eastAsia="宋体" w:cs="Times New Roman"/>
                <w:b/>
                <w:bCs/>
                <w:szCs w:val="21"/>
              </w:rPr>
              <w:t>必</w:t>
            </w:r>
            <w:bookmarkEnd w:id="0"/>
          </w:p>
          <w:p>
            <w:pPr>
              <w:spacing w:before="100" w:beforeAutospacing="1"/>
              <w:rPr>
                <w:rFonts w:ascii="Times New Roman" w:hAnsi="Times New Roman" w:eastAsia="宋体" w:cs="Times New Roman"/>
                <w:b/>
                <w:bCs/>
                <w:szCs w:val="21"/>
              </w:rPr>
            </w:pPr>
          </w:p>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修</w:t>
            </w:r>
          </w:p>
          <w:p>
            <w:pPr>
              <w:spacing w:before="100" w:beforeAutospacing="1"/>
              <w:rPr>
                <w:rFonts w:ascii="Times New Roman" w:hAnsi="Times New Roman" w:eastAsia="宋体" w:cs="Times New Roman"/>
                <w:b/>
                <w:bCs/>
                <w:szCs w:val="21"/>
              </w:rPr>
            </w:pPr>
          </w:p>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课</w:t>
            </w:r>
          </w:p>
        </w:tc>
        <w:tc>
          <w:tcPr>
            <w:tcW w:w="493" w:type="dxa"/>
            <w:vMerge w:val="restart"/>
            <w:tcBorders>
              <w:top w:val="nil"/>
              <w:left w:val="nil"/>
              <w:bottom w:val="single" w:color="auto" w:sz="4" w:space="0"/>
              <w:right w:val="single" w:color="auto" w:sz="4" w:space="0"/>
            </w:tcBorders>
            <w:vAlign w:val="center"/>
          </w:tcPr>
          <w:p>
            <w:pPr>
              <w:spacing w:before="100" w:beforeAutospacing="1"/>
              <w:rPr>
                <w:rFonts w:ascii="Times New Roman" w:hAnsi="Times New Roman" w:eastAsia="宋体" w:cs="Times New Roman"/>
                <w:szCs w:val="21"/>
              </w:rPr>
            </w:pPr>
            <w:r>
              <w:rPr>
                <w:rFonts w:ascii="Times New Roman" w:hAnsi="宋体" w:eastAsia="宋体" w:cs="Times New Roman"/>
                <w:szCs w:val="21"/>
              </w:rPr>
              <w:t>公</w:t>
            </w:r>
          </w:p>
          <w:p>
            <w:pPr>
              <w:spacing w:before="100" w:beforeAutospacing="1"/>
              <w:rPr>
                <w:rFonts w:ascii="Times New Roman" w:hAnsi="Times New Roman" w:eastAsia="宋体" w:cs="Times New Roman"/>
                <w:szCs w:val="21"/>
              </w:rPr>
            </w:pPr>
          </w:p>
          <w:p>
            <w:pPr>
              <w:spacing w:before="100" w:beforeAutospacing="1"/>
              <w:rPr>
                <w:rFonts w:ascii="Times New Roman" w:hAnsi="Times New Roman" w:eastAsia="宋体" w:cs="Times New Roman"/>
                <w:szCs w:val="21"/>
              </w:rPr>
            </w:pPr>
            <w:r>
              <w:rPr>
                <w:rFonts w:ascii="Times New Roman" w:hAnsi="宋体" w:eastAsia="宋体" w:cs="Times New Roman"/>
                <w:szCs w:val="21"/>
              </w:rPr>
              <w:t>共</w:t>
            </w:r>
          </w:p>
          <w:p>
            <w:pPr>
              <w:spacing w:before="100" w:beforeAutospacing="1"/>
              <w:rPr>
                <w:rFonts w:ascii="Times New Roman" w:hAnsi="Times New Roman" w:eastAsia="宋体" w:cs="Times New Roman"/>
                <w:szCs w:val="21"/>
              </w:rPr>
            </w:pPr>
          </w:p>
          <w:p>
            <w:pPr>
              <w:spacing w:before="100" w:beforeAutospacing="1"/>
              <w:rPr>
                <w:rFonts w:ascii="Times New Roman" w:hAnsi="Times New Roman" w:eastAsia="宋体" w:cs="Times New Roman"/>
                <w:szCs w:val="21"/>
              </w:rPr>
            </w:pPr>
            <w:r>
              <w:rPr>
                <w:rFonts w:ascii="Times New Roman" w:hAnsi="宋体" w:eastAsia="宋体" w:cs="Times New Roman"/>
                <w:szCs w:val="21"/>
              </w:rPr>
              <w:t>课</w:t>
            </w: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400011001</w:t>
            </w: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中国特色社会主义理论与实践研究</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36</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马克思主义学院</w:t>
            </w: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考试</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493"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400011002</w:t>
            </w: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自然辩证法概论</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18</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马克思主义学院</w:t>
            </w: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考试</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493"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400013001</w:t>
            </w: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外国语</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48</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3</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外语学院</w:t>
            </w: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考试</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493"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现代农业创新与乡村振兴战略</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493" w:type="dxa"/>
            <w:vMerge w:val="restart"/>
            <w:tcBorders>
              <w:top w:val="nil"/>
              <w:left w:val="nil"/>
              <w:bottom w:val="single" w:color="auto" w:sz="4" w:space="0"/>
              <w:right w:val="single" w:color="auto" w:sz="4" w:space="0"/>
            </w:tcBorders>
            <w:vAlign w:val="center"/>
          </w:tcPr>
          <w:p>
            <w:pPr>
              <w:spacing w:before="100" w:beforeAutospacing="1"/>
              <w:rPr>
                <w:rFonts w:ascii="Times New Roman" w:hAnsi="Times New Roman" w:eastAsia="宋体" w:cs="Times New Roman"/>
                <w:szCs w:val="21"/>
              </w:rPr>
            </w:pPr>
            <w:r>
              <w:rPr>
                <w:rFonts w:ascii="Times New Roman" w:hAnsi="宋体" w:eastAsia="宋体" w:cs="Times New Roman"/>
                <w:szCs w:val="21"/>
              </w:rPr>
              <w:t>领域主干课</w:t>
            </w: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农村公共管理</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493"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发展理论与实践</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tcPr>
          <w:p>
            <w:pPr>
              <w:spacing w:before="100" w:beforeAutospacing="1"/>
              <w:ind w:right="-80" w:rightChars="-38"/>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493"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农村发展规划</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42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493"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cs="Times New Roman"/>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社会调查和研究方法</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restart"/>
            <w:tcBorders>
              <w:top w:val="nil"/>
              <w:left w:val="single" w:color="auto" w:sz="4" w:space="0"/>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选</w:t>
            </w:r>
          </w:p>
          <w:p>
            <w:pPr>
              <w:spacing w:before="100" w:beforeAutospacing="1"/>
              <w:rPr>
                <w:rFonts w:ascii="Times New Roman" w:hAnsi="Times New Roman" w:eastAsia="宋体" w:cs="Times New Roman"/>
                <w:b/>
                <w:bCs/>
                <w:szCs w:val="21"/>
              </w:rPr>
            </w:pPr>
          </w:p>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修</w:t>
            </w:r>
          </w:p>
          <w:p>
            <w:pPr>
              <w:spacing w:before="100" w:beforeAutospacing="1"/>
              <w:rPr>
                <w:rFonts w:ascii="Times New Roman" w:hAnsi="Times New Roman" w:eastAsia="宋体" w:cs="Times New Roman"/>
                <w:b/>
                <w:bCs/>
                <w:szCs w:val="21"/>
              </w:rPr>
            </w:pPr>
          </w:p>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课</w:t>
            </w: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农村公共政策分析</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发展项目管理与评估</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农村扶贫与发展</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乡村治理与乡村建设</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农业推广理论与实践</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after="100" w:after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文献综述与论文写作</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after="100" w:after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农村土地规划与利用</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after="100" w:after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农村自然资源与管理</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after="100" w:after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农村环境治理与生态建设</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32</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考查</w:t>
            </w:r>
          </w:p>
        </w:tc>
        <w:tc>
          <w:tcPr>
            <w:tcW w:w="635" w:type="dxa"/>
            <w:tcBorders>
              <w:top w:val="single" w:color="auto" w:sz="4" w:space="0"/>
              <w:left w:val="nil"/>
              <w:bottom w:val="single" w:color="auto" w:sz="4" w:space="0"/>
              <w:right w:val="single" w:color="auto" w:sz="4" w:space="0"/>
            </w:tcBorders>
            <w:vAlign w:val="center"/>
          </w:tcPr>
          <w:p>
            <w:pPr>
              <w:spacing w:before="100" w:beforeAutospacing="1" w:after="100" w:after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1169"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234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106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805"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p>
        </w:tc>
        <w:tc>
          <w:tcPr>
            <w:tcW w:w="635" w:type="dxa"/>
            <w:tcBorders>
              <w:top w:val="single" w:color="auto" w:sz="4" w:space="0"/>
              <w:left w:val="nil"/>
              <w:bottom w:val="single" w:color="auto" w:sz="4" w:space="0"/>
              <w:right w:val="single" w:color="auto" w:sz="4" w:space="0"/>
            </w:tcBorders>
            <w:vAlign w:val="center"/>
          </w:tcPr>
          <w:p>
            <w:pPr>
              <w:spacing w:before="100" w:beforeAutospacing="1" w:after="100" w:afterAutospacing="1"/>
              <w:rPr>
                <w:rFonts w:ascii="Times New Roman" w:hAnsi="Times New Roman" w:eastAsia="宋体" w:cs="Times New Roman"/>
                <w:szCs w:val="21"/>
              </w:rPr>
            </w:pPr>
          </w:p>
        </w:tc>
      </w:tr>
      <w:tr>
        <w:tblPrEx>
          <w:tblCellMar>
            <w:top w:w="0" w:type="dxa"/>
            <w:left w:w="108" w:type="dxa"/>
            <w:bottom w:w="0" w:type="dxa"/>
            <w:right w:w="108" w:type="dxa"/>
          </w:tblCellMar>
        </w:tblPrEx>
        <w:trPr>
          <w:cantSplit/>
          <w:trHeight w:val="482" w:hRule="atLeast"/>
        </w:trPr>
        <w:tc>
          <w:tcPr>
            <w:tcW w:w="919"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rPr>
                <w:rFonts w:ascii="Times New Roman" w:hAnsi="Times New Roman" w:eastAsia="宋体" w:cs="Times New Roman"/>
                <w:b/>
                <w:bCs/>
                <w:szCs w:val="21"/>
              </w:rPr>
            </w:pPr>
            <w:r>
              <w:rPr>
                <w:rFonts w:hint="eastAsia" w:ascii="Times New Roman" w:hAnsi="宋体" w:eastAsia="宋体" w:cs="Times New Roman"/>
                <w:b/>
                <w:bCs/>
                <w:szCs w:val="21"/>
              </w:rPr>
              <w:t>培</w:t>
            </w:r>
          </w:p>
          <w:p>
            <w:pPr>
              <w:spacing w:before="100" w:beforeAutospacing="1"/>
              <w:rPr>
                <w:rFonts w:ascii="Times New Roman" w:hAnsi="Times New Roman" w:eastAsia="宋体" w:cs="Times New Roman"/>
                <w:b/>
                <w:bCs/>
                <w:szCs w:val="21"/>
              </w:rPr>
            </w:pPr>
            <w:r>
              <w:rPr>
                <w:rFonts w:hint="eastAsia" w:ascii="Times New Roman" w:hAnsi="宋体" w:eastAsia="宋体" w:cs="Times New Roman"/>
                <w:b/>
                <w:bCs/>
                <w:szCs w:val="21"/>
              </w:rPr>
              <w:t>养</w:t>
            </w:r>
          </w:p>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环</w:t>
            </w:r>
          </w:p>
          <w:p>
            <w:pPr>
              <w:spacing w:before="100" w:beforeAutospacing="1"/>
              <w:rPr>
                <w:rFonts w:ascii="Times New Roman" w:hAnsi="Times New Roman" w:eastAsia="宋体" w:cs="Times New Roman"/>
                <w:b/>
                <w:bCs/>
                <w:szCs w:val="21"/>
              </w:rPr>
            </w:pPr>
            <w:r>
              <w:rPr>
                <w:rFonts w:ascii="Times New Roman" w:hAnsi="宋体" w:eastAsia="宋体" w:cs="Times New Roman"/>
                <w:b/>
                <w:bCs/>
                <w:szCs w:val="21"/>
              </w:rPr>
              <w:t>节</w:t>
            </w:r>
          </w:p>
        </w:tc>
        <w:tc>
          <w:tcPr>
            <w:tcW w:w="3509"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宋体" w:eastAsia="宋体" w:cs="Times New Roman"/>
                <w:sz w:val="20"/>
                <w:szCs w:val="20"/>
              </w:rPr>
              <w:t>开题报告及学位论文中期检查</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3</w:t>
            </w:r>
          </w:p>
        </w:tc>
        <w:tc>
          <w:tcPr>
            <w:tcW w:w="3600" w:type="dxa"/>
            <w:gridSpan w:val="5"/>
            <w:tcBorders>
              <w:top w:val="single" w:color="auto" w:sz="4" w:space="0"/>
              <w:left w:val="nil"/>
              <w:bottom w:val="single" w:color="auto" w:sz="4" w:space="0"/>
              <w:right w:val="single" w:color="auto" w:sz="4" w:space="0"/>
            </w:tcBorders>
          </w:tcPr>
          <w:p>
            <w:pPr>
              <w:spacing w:before="100" w:beforeAutospacing="1"/>
              <w:rPr>
                <w:rFonts w:ascii="Times New Roman" w:hAnsi="Times New Roman" w:eastAsia="宋体" w:cs="Times New Roman"/>
                <w:sz w:val="20"/>
                <w:szCs w:val="20"/>
              </w:rPr>
            </w:pPr>
            <w:r>
              <w:rPr>
                <w:rFonts w:ascii="Times New Roman" w:hAnsi="宋体" w:eastAsia="宋体" w:cs="Times New Roman"/>
                <w:sz w:val="20"/>
                <w:szCs w:val="20"/>
              </w:rPr>
              <w:t>完成审核签字手续，向学院提交培养计划、选题报告各一份。</w:t>
            </w:r>
          </w:p>
        </w:tc>
      </w:tr>
      <w:tr>
        <w:tblPrEx>
          <w:tblCellMar>
            <w:top w:w="0" w:type="dxa"/>
            <w:left w:w="108" w:type="dxa"/>
            <w:bottom w:w="0" w:type="dxa"/>
            <w:right w:w="108" w:type="dxa"/>
          </w:tblCellMar>
        </w:tblPrEx>
        <w:trPr>
          <w:cantSplit/>
          <w:trHeight w:val="482" w:hRule="atLeast"/>
        </w:trPr>
        <w:tc>
          <w:tcPr>
            <w:tcW w:w="919"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bCs/>
                <w:szCs w:val="21"/>
              </w:rPr>
            </w:pPr>
          </w:p>
        </w:tc>
        <w:tc>
          <w:tcPr>
            <w:tcW w:w="3509"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宋体" w:eastAsia="宋体" w:cs="Times New Roman"/>
                <w:sz w:val="20"/>
                <w:szCs w:val="20"/>
              </w:rPr>
              <w:t>实践</w:t>
            </w:r>
            <w:r>
              <w:rPr>
                <w:rFonts w:hint="eastAsia" w:ascii="Times New Roman" w:hAnsi="宋体" w:eastAsia="宋体" w:cs="Times New Roman"/>
                <w:sz w:val="20"/>
                <w:szCs w:val="20"/>
              </w:rPr>
              <w:t>训练</w:t>
            </w:r>
          </w:p>
        </w:tc>
        <w:tc>
          <w:tcPr>
            <w:tcW w:w="720"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3-4</w:t>
            </w:r>
          </w:p>
        </w:tc>
        <w:tc>
          <w:tcPr>
            <w:tcW w:w="668"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Times New Roman" w:eastAsia="宋体" w:cs="Times New Roman"/>
                <w:sz w:val="20"/>
                <w:szCs w:val="20"/>
              </w:rPr>
              <w:t>≥</w:t>
            </w:r>
            <w:r>
              <w:rPr>
                <w:rFonts w:hint="eastAsia" w:ascii="Times New Roman" w:hAnsi="Times New Roman" w:eastAsia="宋体" w:cs="Times New Roman"/>
                <w:sz w:val="20"/>
                <w:szCs w:val="20"/>
              </w:rPr>
              <w:t>6</w:t>
            </w:r>
            <w:r>
              <w:rPr>
                <w:rFonts w:ascii="Times New Roman" w:hAnsi="宋体" w:eastAsia="宋体" w:cs="Times New Roman"/>
                <w:sz w:val="20"/>
                <w:szCs w:val="20"/>
              </w:rPr>
              <w:t>个月</w:t>
            </w:r>
          </w:p>
        </w:tc>
        <w:tc>
          <w:tcPr>
            <w:tcW w:w="426" w:type="dxa"/>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4</w:t>
            </w:r>
          </w:p>
        </w:tc>
        <w:tc>
          <w:tcPr>
            <w:tcW w:w="2506" w:type="dxa"/>
            <w:gridSpan w:val="3"/>
            <w:tcBorders>
              <w:top w:val="single" w:color="auto" w:sz="4" w:space="0"/>
              <w:left w:val="nil"/>
              <w:bottom w:val="single" w:color="auto" w:sz="4" w:space="0"/>
              <w:right w:val="single" w:color="auto" w:sz="4" w:space="0"/>
            </w:tcBorders>
            <w:vAlign w:val="center"/>
          </w:tcPr>
          <w:p>
            <w:pPr>
              <w:spacing w:before="100" w:beforeAutospacing="1"/>
              <w:rPr>
                <w:rFonts w:ascii="Times New Roman" w:hAnsi="Times New Roman" w:eastAsia="宋体" w:cs="Times New Roman"/>
                <w:sz w:val="20"/>
                <w:szCs w:val="20"/>
              </w:rPr>
            </w:pPr>
            <w:r>
              <w:rPr>
                <w:rFonts w:ascii="Times New Roman" w:hAnsi="宋体" w:eastAsia="宋体" w:cs="Times New Roman"/>
                <w:sz w:val="20"/>
                <w:szCs w:val="20"/>
              </w:rPr>
              <w:t>实习单位和指导教师签署意见后，向学院提交实习总结。</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9C"/>
    <w:rsid w:val="000D49C4"/>
    <w:rsid w:val="001277DB"/>
    <w:rsid w:val="00285834"/>
    <w:rsid w:val="004D779C"/>
    <w:rsid w:val="005F5716"/>
    <w:rsid w:val="009F0E72"/>
    <w:rsid w:val="00A83E2B"/>
    <w:rsid w:val="00D47651"/>
    <w:rsid w:val="190E56E0"/>
    <w:rsid w:val="29EB246E"/>
    <w:rsid w:val="2D0008B2"/>
    <w:rsid w:val="374D0853"/>
    <w:rsid w:val="50557B64"/>
    <w:rsid w:val="56BE5793"/>
    <w:rsid w:val="6BF838C5"/>
    <w:rsid w:val="73D07030"/>
    <w:rsid w:val="75BE1FF3"/>
    <w:rsid w:val="7AE85B87"/>
    <w:rsid w:val="7FF80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1"/>
    <w:qFormat/>
    <w:uiPriority w:val="0"/>
    <w:pPr>
      <w:jc w:val="both"/>
    </w:pPr>
    <w:rPr>
      <w:rFonts w:ascii="Calibri" w:hAnsi="Calibri" w:eastAsia="宋体" w:cs="Calibri"/>
      <w:kern w:val="2"/>
      <w:sz w:val="21"/>
      <w:szCs w:val="21"/>
      <w:lang w:val="en-US" w:eastAsia="zh-CN" w:bidi="ar-SA"/>
    </w:rPr>
  </w:style>
  <w:style w:type="character" w:customStyle="1" w:styleId="7">
    <w:name w:val="页眉 字符"/>
    <w:basedOn w:val="5"/>
    <w:link w:val="3"/>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422</Words>
  <Characters>2411</Characters>
  <Lines>20</Lines>
  <Paragraphs>5</Paragraphs>
  <TotalTime>69</TotalTime>
  <ScaleCrop>false</ScaleCrop>
  <LinksUpToDate>false</LinksUpToDate>
  <CharactersWithSpaces>2828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2018-06-01T02:14:00Z</dcterms:created>
  <dc:creator>h</dc:creator>
  <cp:lastModifiedBy>赵翠萍</cp:lastModifiedBy>
  <dcterms:modified xsi:type="dcterms:W3CDTF">2021-06-28T21:43:47Z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A96077D948DE4824AFCE797D09F958C3</vt:lpwstr>
  </property>
</Properties>
</file>